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92" w:rsidRPr="002573ED" w:rsidRDefault="001C7A92" w:rsidP="001C7A92">
      <w:pPr>
        <w:pStyle w:val="NoSpacing"/>
        <w:rPr>
          <w:rFonts w:ascii="Cambria" w:hAnsi="Cambria" w:cstheme="minorHAnsi"/>
          <w:b/>
          <w:sz w:val="30"/>
          <w:szCs w:val="30"/>
        </w:rPr>
      </w:pPr>
      <w:r>
        <w:rPr>
          <w:rFonts w:ascii="Cambria" w:hAnsi="Cambria" w:cstheme="minorHAnsi"/>
          <w:b/>
          <w:noProof/>
          <w:sz w:val="30"/>
          <w:szCs w:val="30"/>
          <w:lang w:eastAsia="en-GB"/>
        </w:rPr>
        <w:drawing>
          <wp:anchor distT="0" distB="0" distL="114300" distR="114300" simplePos="0" relativeHeight="251659264" behindDoc="0" locked="0" layoutInCell="1" allowOverlap="1" wp14:anchorId="236F92CD" wp14:editId="0A5F8922">
            <wp:simplePos x="0" y="0"/>
            <wp:positionH relativeFrom="column">
              <wp:posOffset>285750</wp:posOffset>
            </wp:positionH>
            <wp:positionV relativeFrom="paragraph">
              <wp:posOffset>31623000</wp:posOffset>
            </wp:positionV>
            <wp:extent cx="1508400" cy="2160000"/>
            <wp:effectExtent l="38100" t="38100" r="92075" b="8826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78184946723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084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373326">
        <w:rPr>
          <w:rFonts w:ascii="Cambria" w:hAnsi="Cambria" w:cstheme="minorHAnsi"/>
          <w:b/>
          <w:noProof/>
          <w:sz w:val="30"/>
          <w:szCs w:val="30"/>
        </w:rPr>
        <w:t>Defences in Contract</w:t>
      </w:r>
    </w:p>
    <w:p w:rsidR="001C7A92" w:rsidRPr="002573ED" w:rsidRDefault="001C7A92" w:rsidP="001C7A92">
      <w:pPr>
        <w:pStyle w:val="NoSpacing"/>
        <w:rPr>
          <w:rFonts w:ascii="Cambria" w:hAnsi="Cambria" w:cstheme="minorHAnsi"/>
          <w:i/>
          <w:sz w:val="30"/>
          <w:szCs w:val="30"/>
        </w:rPr>
      </w:pPr>
      <w:r w:rsidRPr="002573ED">
        <w:rPr>
          <w:rFonts w:ascii="Cambria" w:hAnsi="Cambria" w:cstheme="minorHAnsi"/>
          <w:i/>
          <w:sz w:val="30"/>
          <w:szCs w:val="30"/>
        </w:rPr>
        <w:t xml:space="preserve">Edited by </w:t>
      </w:r>
      <w:r w:rsidRPr="00373326">
        <w:rPr>
          <w:rFonts w:ascii="Cambria" w:hAnsi="Cambria" w:cstheme="minorHAnsi"/>
          <w:i/>
          <w:noProof/>
          <w:sz w:val="30"/>
          <w:szCs w:val="30"/>
        </w:rPr>
        <w:t>Andrew Dyson, James Goudkamp and Frederick Wilmot-Smith</w:t>
      </w:r>
    </w:p>
    <w:p w:rsidR="001C7A92" w:rsidRPr="00DF5722" w:rsidRDefault="001C7A92" w:rsidP="001C7A92">
      <w:pPr>
        <w:pStyle w:val="NoSpacing"/>
        <w:rPr>
          <w:rFonts w:ascii="Cambria" w:hAnsi="Cambria" w:cstheme="minorHAnsi"/>
          <w:sz w:val="24"/>
          <w:szCs w:val="30"/>
        </w:rPr>
      </w:pPr>
    </w:p>
    <w:p w:rsidR="001C7A92" w:rsidRPr="00DF5722" w:rsidRDefault="001C7A92" w:rsidP="001C7A92">
      <w:pPr>
        <w:pStyle w:val="NoSpacing"/>
        <w:rPr>
          <w:rFonts w:ascii="Cambria" w:hAnsi="Cambria" w:cstheme="minorHAnsi"/>
          <w:sz w:val="24"/>
          <w:szCs w:val="30"/>
        </w:rPr>
      </w:pPr>
      <w:r w:rsidRPr="00373326">
        <w:rPr>
          <w:rFonts w:ascii="Cambria" w:hAnsi="Cambria" w:cstheme="minorHAnsi"/>
          <w:noProof/>
          <w:sz w:val="24"/>
          <w:szCs w:val="30"/>
        </w:rPr>
        <w:t>This book is the third in a series of essay collections on defences in private law. It addresses defences to liability arising in contract. The essays range from those adopting a predominantly black-letter approach to others that examine the law from a more theoretical or historical perspective. Some essays focus on individual defences, while others are concerned with the links between defences, or with how defences relate to the structure of contract law generally. One goal of the book is to determ</w:t>
      </w:r>
      <w:bookmarkStart w:id="0" w:name="_GoBack"/>
      <w:bookmarkEnd w:id="0"/>
      <w:r w:rsidRPr="00373326">
        <w:rPr>
          <w:rFonts w:ascii="Cambria" w:hAnsi="Cambria" w:cstheme="minorHAnsi"/>
          <w:noProof/>
          <w:sz w:val="24"/>
          <w:szCs w:val="30"/>
        </w:rPr>
        <w:t>ine what light can be shed on contract law doctrines by analysing them through the lens of defences. The contributors – judges and academics – are all leading jurists. The essays are addressed to all of the major common law jurisdictions.</w:t>
      </w:r>
    </w:p>
    <w:p w:rsidR="001C7A92" w:rsidRPr="00DF5722" w:rsidRDefault="001C7A92" w:rsidP="001C7A92">
      <w:pPr>
        <w:pStyle w:val="NoSpacing"/>
        <w:rPr>
          <w:rFonts w:ascii="Cambria" w:hAnsi="Cambria" w:cstheme="minorHAnsi"/>
          <w:sz w:val="24"/>
          <w:szCs w:val="30"/>
        </w:rPr>
      </w:pPr>
    </w:p>
    <w:p w:rsidR="001C7A92" w:rsidRPr="00373326" w:rsidRDefault="001C7A92" w:rsidP="001C7A92">
      <w:pPr>
        <w:pStyle w:val="NoSpacing"/>
        <w:rPr>
          <w:rFonts w:ascii="Cambria" w:hAnsi="Cambria" w:cstheme="minorHAnsi"/>
          <w:i/>
          <w:noProof/>
          <w:sz w:val="24"/>
          <w:szCs w:val="30"/>
        </w:rPr>
      </w:pPr>
      <w:r w:rsidRPr="009F3BAC">
        <w:rPr>
          <w:rFonts w:ascii="Cambria" w:hAnsi="Cambria" w:cstheme="minorHAnsi"/>
          <w:b/>
          <w:i/>
          <w:noProof/>
          <w:sz w:val="24"/>
          <w:szCs w:val="30"/>
        </w:rPr>
        <w:t>Andrew Dyson</w:t>
      </w:r>
      <w:r w:rsidRPr="00373326">
        <w:rPr>
          <w:rFonts w:ascii="Cambria" w:hAnsi="Cambria" w:cstheme="minorHAnsi"/>
          <w:i/>
          <w:noProof/>
          <w:sz w:val="24"/>
          <w:szCs w:val="30"/>
        </w:rPr>
        <w:t xml:space="preserve"> is an Assistant Professor in Private Law at the London School of Economics and Political Science.</w:t>
      </w:r>
    </w:p>
    <w:p w:rsidR="001C7A92" w:rsidRPr="00373326" w:rsidRDefault="001C7A92" w:rsidP="001C7A92">
      <w:pPr>
        <w:pStyle w:val="NoSpacing"/>
        <w:rPr>
          <w:rFonts w:ascii="Cambria" w:hAnsi="Cambria" w:cstheme="minorHAnsi"/>
          <w:i/>
          <w:noProof/>
          <w:sz w:val="24"/>
          <w:szCs w:val="30"/>
        </w:rPr>
      </w:pPr>
      <w:r w:rsidRPr="009F3BAC">
        <w:rPr>
          <w:rFonts w:ascii="Cambria" w:hAnsi="Cambria" w:cstheme="minorHAnsi"/>
          <w:b/>
          <w:i/>
          <w:noProof/>
          <w:sz w:val="24"/>
          <w:szCs w:val="30"/>
        </w:rPr>
        <w:t>James Goudkamp</w:t>
      </w:r>
      <w:r w:rsidRPr="00373326">
        <w:rPr>
          <w:rFonts w:ascii="Cambria" w:hAnsi="Cambria" w:cstheme="minorHAnsi"/>
          <w:i/>
          <w:noProof/>
          <w:sz w:val="24"/>
          <w:szCs w:val="30"/>
        </w:rPr>
        <w:t xml:space="preserve"> is a Fellow of Keble College and an Associate Professor in the Oxford Law Faculty. He is also an Associate Academic Fellow in the Honourable Society of the Inner Temple, a Senior Honorary Research Fellow in the Faculty of Law, University of Western Australia, a Professorial Fellow in the School of Law, University of Wollongong and a barrister at 7 King’s Bench Walk.</w:t>
      </w:r>
    </w:p>
    <w:p w:rsidR="001C7A92" w:rsidRPr="00DF5722" w:rsidRDefault="001C7A92" w:rsidP="001C7A92">
      <w:pPr>
        <w:pStyle w:val="NoSpacing"/>
        <w:rPr>
          <w:rFonts w:ascii="Cambria" w:hAnsi="Cambria" w:cstheme="minorHAnsi"/>
          <w:i/>
          <w:sz w:val="24"/>
          <w:szCs w:val="30"/>
        </w:rPr>
      </w:pPr>
      <w:r w:rsidRPr="009F3BAC">
        <w:rPr>
          <w:rFonts w:ascii="Cambria" w:hAnsi="Cambria" w:cstheme="minorHAnsi"/>
          <w:b/>
          <w:i/>
          <w:noProof/>
          <w:sz w:val="24"/>
          <w:szCs w:val="30"/>
        </w:rPr>
        <w:t>Frederick Wilmot-Smith</w:t>
      </w:r>
      <w:r w:rsidRPr="00373326">
        <w:rPr>
          <w:rFonts w:ascii="Cambria" w:hAnsi="Cambria" w:cstheme="minorHAnsi"/>
          <w:i/>
          <w:noProof/>
          <w:sz w:val="24"/>
          <w:szCs w:val="30"/>
        </w:rPr>
        <w:t xml:space="preserve"> is a Prize Fellow at All Souls College, Oxford.</w:t>
      </w:r>
    </w:p>
    <w:p w:rsidR="001C7A92" w:rsidRPr="00DF5722" w:rsidRDefault="001C7A92" w:rsidP="001C7A92">
      <w:pPr>
        <w:pStyle w:val="NoSpacing"/>
        <w:rPr>
          <w:rFonts w:ascii="Cambria" w:hAnsi="Cambria" w:cstheme="minorHAnsi"/>
          <w:sz w:val="24"/>
          <w:szCs w:val="30"/>
        </w:rPr>
      </w:pPr>
    </w:p>
    <w:p w:rsidR="001C7A92" w:rsidRDefault="001C7A92" w:rsidP="001C7A92">
      <w:pPr>
        <w:pStyle w:val="NoSpacing"/>
        <w:rPr>
          <w:rFonts w:ascii="Cambria" w:hAnsi="Cambria" w:cstheme="minorHAnsi"/>
          <w:sz w:val="24"/>
          <w:szCs w:val="30"/>
        </w:rPr>
      </w:pPr>
      <w:r>
        <w:rPr>
          <w:rFonts w:ascii="Cambria" w:hAnsi="Cambria" w:cstheme="minorHAnsi"/>
          <w:noProof/>
          <w:sz w:val="24"/>
          <w:szCs w:val="30"/>
        </w:rPr>
        <w:t xml:space="preserve">February </w:t>
      </w:r>
      <w:r w:rsidRPr="00373326">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373326">
        <w:rPr>
          <w:rFonts w:ascii="Cambria" w:hAnsi="Cambria" w:cstheme="minorHAnsi"/>
          <w:noProof/>
          <w:sz w:val="24"/>
          <w:szCs w:val="30"/>
        </w:rPr>
        <w:t>9781849467230</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proofErr w:type="gramStart"/>
      <w:r w:rsidRPr="00373326">
        <w:rPr>
          <w:rFonts w:ascii="Cambria" w:hAnsi="Cambria" w:cstheme="minorHAnsi"/>
          <w:noProof/>
          <w:sz w:val="24"/>
          <w:szCs w:val="30"/>
        </w:rPr>
        <w:t>336</w:t>
      </w:r>
      <w:r w:rsidRPr="00DF5722">
        <w:rPr>
          <w:rFonts w:ascii="Cambria" w:hAnsi="Cambria" w:cstheme="minorHAnsi"/>
          <w:sz w:val="24"/>
          <w:szCs w:val="30"/>
        </w:rPr>
        <w:t xml:space="preserve">pp  </w:t>
      </w:r>
      <w:r>
        <w:rPr>
          <w:rFonts w:ascii="Cambria" w:hAnsi="Cambria" w:cstheme="minorHAnsi"/>
          <w:sz w:val="24"/>
          <w:szCs w:val="30"/>
        </w:rPr>
        <w:t>|</w:t>
      </w:r>
      <w:proofErr w:type="gramEnd"/>
      <w:r w:rsidRPr="00DF5722">
        <w:rPr>
          <w:rFonts w:ascii="Cambria" w:hAnsi="Cambria" w:cstheme="minorHAnsi"/>
          <w:sz w:val="24"/>
          <w:szCs w:val="30"/>
        </w:rPr>
        <w:t xml:space="preserve">   </w:t>
      </w:r>
      <w:r w:rsidRPr="00373326">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w:t>
      </w:r>
      <w:r w:rsidRPr="00DF5722">
        <w:rPr>
          <w:rFonts w:ascii="Cambria" w:hAnsi="Cambria" w:cstheme="minorHAnsi"/>
          <w:sz w:val="24"/>
          <w:szCs w:val="30"/>
        </w:rPr>
        <w:t xml:space="preserve">   RSP: </w:t>
      </w:r>
      <w:r w:rsidRPr="00861900">
        <w:rPr>
          <w:rFonts w:ascii="Cambria" w:hAnsi="Cambria" w:cstheme="minorHAnsi"/>
          <w:strike/>
          <w:sz w:val="24"/>
          <w:szCs w:val="30"/>
        </w:rPr>
        <w:t>£</w:t>
      </w:r>
      <w:r w:rsidRPr="00373326">
        <w:rPr>
          <w:rFonts w:ascii="Cambria" w:hAnsi="Cambria" w:cstheme="minorHAnsi"/>
          <w:strike/>
          <w:noProof/>
          <w:sz w:val="24"/>
          <w:szCs w:val="30"/>
        </w:rPr>
        <w:t>75</w:t>
      </w:r>
      <w:r w:rsidRPr="00DF5722">
        <w:rPr>
          <w:rFonts w:ascii="Cambria" w:hAnsi="Cambria" w:cstheme="minorHAnsi"/>
          <w:sz w:val="24"/>
          <w:szCs w:val="30"/>
        </w:rPr>
        <w:t xml:space="preserve">   </w:t>
      </w:r>
    </w:p>
    <w:p w:rsidR="001C7A92" w:rsidRPr="009F3BAC" w:rsidRDefault="001C7A92" w:rsidP="001C7A92">
      <w:pPr>
        <w:pStyle w:val="NoSpacing"/>
        <w:rPr>
          <w:rFonts w:ascii="Cambria" w:hAnsi="Cambria" w:cstheme="minorHAnsi"/>
          <w:b/>
          <w:color w:val="7030A0"/>
          <w:sz w:val="24"/>
          <w:szCs w:val="30"/>
        </w:rPr>
      </w:pPr>
      <w:r w:rsidRPr="009F3BAC">
        <w:rPr>
          <w:rFonts w:ascii="Cambria" w:hAnsi="Cambria" w:cstheme="minorHAnsi"/>
          <w:b/>
          <w:color w:val="7030A0"/>
          <w:sz w:val="24"/>
          <w:szCs w:val="30"/>
        </w:rPr>
        <w:t>Discount Price: £</w:t>
      </w:r>
      <w:r w:rsidRPr="009F3BAC">
        <w:rPr>
          <w:rFonts w:ascii="Cambria" w:hAnsi="Cambria" w:cstheme="minorHAnsi"/>
          <w:b/>
          <w:noProof/>
          <w:color w:val="7030A0"/>
          <w:sz w:val="24"/>
          <w:szCs w:val="30"/>
        </w:rPr>
        <w:t>60</w:t>
      </w:r>
    </w:p>
    <w:p w:rsidR="001C7A92" w:rsidRPr="00836D6C" w:rsidRDefault="001C7A92" w:rsidP="001C7A92">
      <w:pPr>
        <w:pStyle w:val="NoSpacing"/>
        <w:rPr>
          <w:rFonts w:ascii="Cambria" w:hAnsi="Cambria" w:cstheme="minorHAnsi"/>
          <w:b/>
          <w:noProof/>
          <w:color w:val="7030A0"/>
          <w:sz w:val="24"/>
          <w:szCs w:val="30"/>
        </w:rPr>
      </w:pPr>
      <w:r w:rsidRPr="00836D6C">
        <w:rPr>
          <w:rFonts w:ascii="Cambria" w:hAnsi="Cambria" w:cstheme="minorHAnsi"/>
          <w:b/>
          <w:noProof/>
          <w:color w:val="7030A0"/>
          <w:sz w:val="24"/>
          <w:szCs w:val="30"/>
        </w:rPr>
        <w:t xml:space="preserve">Click </w:t>
      </w:r>
      <w:hyperlink r:id="rId5" w:history="1">
        <w:r w:rsidRPr="00836D6C">
          <w:rPr>
            <w:rStyle w:val="Hyperlink"/>
            <w:rFonts w:ascii="Cambria" w:hAnsi="Cambria" w:cstheme="minorHAnsi"/>
            <w:b/>
            <w:noProof/>
            <w:sz w:val="24"/>
            <w:szCs w:val="30"/>
          </w:rPr>
          <w:t>here</w:t>
        </w:r>
      </w:hyperlink>
      <w:r w:rsidRPr="00836D6C">
        <w:rPr>
          <w:rFonts w:ascii="Cambria" w:hAnsi="Cambria" w:cstheme="minorHAnsi"/>
          <w:b/>
          <w:noProof/>
          <w:color w:val="7030A0"/>
          <w:sz w:val="24"/>
          <w:szCs w:val="30"/>
        </w:rPr>
        <w:t xml:space="preserve"> to order online and use the discount code CV7 at the checkout to get your 20% off</w:t>
      </w:r>
    </w:p>
    <w:p w:rsidR="00FE102C" w:rsidRDefault="00FE102C"/>
    <w:sectPr w:rsidR="00FE1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A92"/>
    <w:rsid w:val="001C7A92"/>
    <w:rsid w:val="00FE1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CA631-240E-410F-B81C-A8BE2FA9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7A92"/>
    <w:pPr>
      <w:spacing w:after="0" w:line="240" w:lineRule="auto"/>
    </w:pPr>
  </w:style>
  <w:style w:type="character" w:styleId="Hyperlink">
    <w:name w:val="Hyperlink"/>
    <w:basedOn w:val="DefaultParagraphFont"/>
    <w:uiPriority w:val="99"/>
    <w:unhideWhenUsed/>
    <w:rsid w:val="001C7A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defences-in-contract-978184946723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Emma Swinden</cp:lastModifiedBy>
  <cp:revision>1</cp:revision>
  <dcterms:created xsi:type="dcterms:W3CDTF">2017-02-21T16:54:00Z</dcterms:created>
  <dcterms:modified xsi:type="dcterms:W3CDTF">2017-02-21T16:55:00Z</dcterms:modified>
</cp:coreProperties>
</file>